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A3" w:rsidRDefault="00D520A3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D520A3" w:rsidRDefault="00D520A3">
      <w:pPr>
        <w:pStyle w:val="ConsPlusNormal"/>
        <w:spacing w:before="220"/>
        <w:jc w:val="both"/>
      </w:pPr>
      <w:r>
        <w:t>Республики Беларусь 24 ноября 2006 г. N 8/15387</w:t>
      </w:r>
    </w:p>
    <w:p w:rsidR="00D520A3" w:rsidRDefault="00D520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0A3" w:rsidRDefault="00D520A3">
      <w:pPr>
        <w:pStyle w:val="ConsPlusNormal"/>
        <w:ind w:firstLine="540"/>
        <w:jc w:val="both"/>
      </w:pPr>
    </w:p>
    <w:p w:rsidR="00D520A3" w:rsidRDefault="00D520A3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D520A3" w:rsidRDefault="00D520A3">
      <w:pPr>
        <w:pStyle w:val="ConsPlusTitle"/>
        <w:jc w:val="center"/>
      </w:pPr>
      <w:r>
        <w:t>18 августа 2006 г. N 84</w:t>
      </w:r>
    </w:p>
    <w:p w:rsidR="00D520A3" w:rsidRDefault="00D520A3">
      <w:pPr>
        <w:pStyle w:val="ConsPlusTitle"/>
        <w:jc w:val="center"/>
      </w:pPr>
    </w:p>
    <w:p w:rsidR="00D520A3" w:rsidRDefault="00D520A3">
      <w:pPr>
        <w:pStyle w:val="ConsPlusTitle"/>
        <w:jc w:val="center"/>
      </w:pPr>
      <w:r>
        <w:t>ОБ УТВЕРЖДЕНИИ ТИПОВЫХ ШТАТОВ И НОРМАТИВОВ ЧИСЛЕННОСТИ</w:t>
      </w:r>
    </w:p>
    <w:p w:rsidR="00D520A3" w:rsidRDefault="00D520A3">
      <w:pPr>
        <w:pStyle w:val="ConsPlusTitle"/>
        <w:jc w:val="center"/>
      </w:pPr>
      <w:r>
        <w:t>РАБОТНИКОВ РАЙОННЫХ (ГОРОДСКИХ)</w:t>
      </w:r>
    </w:p>
    <w:p w:rsidR="00D520A3" w:rsidRDefault="00D520A3">
      <w:pPr>
        <w:pStyle w:val="ConsPlusTitle"/>
        <w:jc w:val="center"/>
      </w:pPr>
      <w:r>
        <w:t>УЧЕБНО-МЕТОДИЧЕСКИХ КАБИНЕТОВ</w:t>
      </w:r>
    </w:p>
    <w:p w:rsidR="00D520A3" w:rsidRDefault="00D520A3">
      <w:pPr>
        <w:pStyle w:val="ConsPlusNormal"/>
        <w:ind w:firstLine="540"/>
        <w:jc w:val="both"/>
      </w:pPr>
    </w:p>
    <w:p w:rsidR="00D520A3" w:rsidRDefault="00D520A3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Положения</w:t>
        </w:r>
      </w:hyperlink>
      <w:r>
        <w:t xml:space="preserve"> о Министерстве образования Республики Беларусь, утвержденного постановлением Совета Министров Республики Беларусь от 29 октября 2001 г. N 1554, Министерство образования Республики Беларусь ПОСТАНОВЛЯЕТ:</w:t>
      </w:r>
    </w:p>
    <w:p w:rsidR="00D520A3" w:rsidRDefault="00D520A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типовые штаты</w:t>
        </w:r>
      </w:hyperlink>
      <w:r>
        <w:t xml:space="preserve"> и нормативы численности работников районных (городских) учебно-методических кабинетов (далее - типовые штаты) согласно приложению.</w:t>
      </w:r>
    </w:p>
    <w:p w:rsidR="00D520A3" w:rsidRDefault="00D520A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520A3" w:rsidRDefault="00D520A3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типовые штаты</w:t>
        </w:r>
      </w:hyperlink>
      <w:r>
        <w:t xml:space="preserve"> применяются при утверждении штатных расписаний районных (городских) учебно-методических кабинетов на 1 января в пределах утвержденного в установленном порядке фонда заработной платы. При этом принимается фактическая численность педагогических работников, детей, количество учреждений образования по статистическим данным на 1 января;</w:t>
      </w:r>
    </w:p>
    <w:p w:rsidR="00D520A3" w:rsidRDefault="00D520A3">
      <w:pPr>
        <w:pStyle w:val="ConsPlusNormal"/>
        <w:spacing w:before="220"/>
        <w:ind w:firstLine="540"/>
        <w:jc w:val="both"/>
      </w:pPr>
      <w:r>
        <w:t xml:space="preserve">введение в штатное расписание районных (городских) учебно-методических кабинетов единиц сверх </w:t>
      </w:r>
      <w:hyperlink w:anchor="P36" w:history="1">
        <w:r>
          <w:rPr>
            <w:color w:val="0000FF"/>
          </w:rPr>
          <w:t>типовых штатов</w:t>
        </w:r>
      </w:hyperlink>
      <w:r>
        <w:t xml:space="preserve"> осуществляется по согласованию с управлением (отделом) образования и финансовым управлением (отделом) местных исполнительных и распорядительных органов, в ведении которых находится учреждение.</w:t>
      </w:r>
    </w:p>
    <w:p w:rsidR="00D520A3" w:rsidRDefault="00D520A3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520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20A3" w:rsidRDefault="00D520A3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20A3" w:rsidRDefault="00D520A3">
            <w:pPr>
              <w:pStyle w:val="ConsPlusNormal"/>
              <w:jc w:val="right"/>
            </w:pPr>
            <w:r>
              <w:t>А.М.РАДЬКОВ</w:t>
            </w:r>
          </w:p>
        </w:tc>
      </w:tr>
    </w:tbl>
    <w:p w:rsidR="00D520A3" w:rsidRDefault="00D520A3">
      <w:pPr>
        <w:pStyle w:val="ConsPlusNormal"/>
        <w:ind w:firstLine="540"/>
        <w:jc w:val="both"/>
      </w:pPr>
    </w:p>
    <w:p w:rsidR="00D520A3" w:rsidRDefault="00D520A3">
      <w:pPr>
        <w:pStyle w:val="ConsPlusNonformat"/>
        <w:jc w:val="both"/>
      </w:pPr>
      <w:r>
        <w:t xml:space="preserve">СОГЛАСОВАНО             </w:t>
      </w:r>
      <w:proofErr w:type="spellStart"/>
      <w:r>
        <w:t>СОГЛАСОВАНО</w:t>
      </w:r>
      <w:proofErr w:type="spellEnd"/>
    </w:p>
    <w:p w:rsidR="00D520A3" w:rsidRDefault="00D520A3">
      <w:pPr>
        <w:pStyle w:val="ConsPlusNonformat"/>
        <w:jc w:val="both"/>
      </w:pPr>
      <w:r>
        <w:t>Министр финансов        Министр экономики</w:t>
      </w:r>
    </w:p>
    <w:p w:rsidR="00D520A3" w:rsidRDefault="00D520A3">
      <w:pPr>
        <w:pStyle w:val="ConsPlusNonformat"/>
        <w:jc w:val="both"/>
      </w:pPr>
      <w:r>
        <w:t>Республики Беларусь     Республики Беларусь</w:t>
      </w:r>
    </w:p>
    <w:p w:rsidR="00D520A3" w:rsidRDefault="00D520A3">
      <w:pPr>
        <w:pStyle w:val="ConsPlusNonformat"/>
        <w:jc w:val="both"/>
      </w:pPr>
      <w:proofErr w:type="spellStart"/>
      <w:r>
        <w:t>Н.П.Корбут</w:t>
      </w:r>
      <w:proofErr w:type="spellEnd"/>
      <w:r>
        <w:t xml:space="preserve">              </w:t>
      </w:r>
      <w:proofErr w:type="spellStart"/>
      <w:r>
        <w:t>Н.П.Зайченко</w:t>
      </w:r>
      <w:proofErr w:type="spellEnd"/>
    </w:p>
    <w:p w:rsidR="00D520A3" w:rsidRDefault="00D520A3">
      <w:pPr>
        <w:pStyle w:val="ConsPlusNonformat"/>
        <w:jc w:val="both"/>
      </w:pPr>
      <w:r>
        <w:t>17.08.2006              18.08.2006</w:t>
      </w:r>
    </w:p>
    <w:p w:rsidR="00D520A3" w:rsidRDefault="00D520A3">
      <w:pPr>
        <w:pStyle w:val="ConsPlusNormal"/>
        <w:ind w:firstLine="540"/>
        <w:jc w:val="both"/>
      </w:pPr>
    </w:p>
    <w:p w:rsidR="00D520A3" w:rsidRDefault="00D520A3">
      <w:pPr>
        <w:pStyle w:val="ConsPlusNormal"/>
        <w:ind w:firstLine="540"/>
        <w:jc w:val="both"/>
      </w:pPr>
    </w:p>
    <w:p w:rsidR="00D520A3" w:rsidRDefault="00D520A3">
      <w:pPr>
        <w:pStyle w:val="ConsPlusNormal"/>
        <w:ind w:firstLine="540"/>
        <w:jc w:val="both"/>
      </w:pPr>
    </w:p>
    <w:p w:rsidR="00D520A3" w:rsidRDefault="00D520A3">
      <w:pPr>
        <w:pStyle w:val="ConsPlusNormal"/>
        <w:ind w:firstLine="540"/>
        <w:jc w:val="both"/>
      </w:pPr>
    </w:p>
    <w:p w:rsidR="00D520A3" w:rsidRDefault="00D520A3">
      <w:pPr>
        <w:pStyle w:val="ConsPlusNormal"/>
        <w:ind w:firstLine="540"/>
        <w:jc w:val="both"/>
      </w:pPr>
    </w:p>
    <w:p w:rsidR="00D520A3" w:rsidRDefault="00D520A3">
      <w:pPr>
        <w:pStyle w:val="ConsPlusNormal"/>
        <w:jc w:val="right"/>
        <w:outlineLvl w:val="0"/>
      </w:pPr>
      <w:r>
        <w:t>Приложение</w:t>
      </w:r>
    </w:p>
    <w:p w:rsidR="00D520A3" w:rsidRDefault="00D520A3">
      <w:pPr>
        <w:pStyle w:val="ConsPlusNormal"/>
        <w:jc w:val="right"/>
      </w:pPr>
      <w:r>
        <w:t>к постановлению</w:t>
      </w:r>
    </w:p>
    <w:p w:rsidR="00D520A3" w:rsidRDefault="00D520A3">
      <w:pPr>
        <w:pStyle w:val="ConsPlusNormal"/>
        <w:jc w:val="right"/>
      </w:pPr>
      <w:r>
        <w:t>Министерства образования</w:t>
      </w:r>
    </w:p>
    <w:p w:rsidR="00D520A3" w:rsidRDefault="00D520A3">
      <w:pPr>
        <w:pStyle w:val="ConsPlusNormal"/>
        <w:jc w:val="right"/>
      </w:pPr>
      <w:r>
        <w:t>Республики Беларусь</w:t>
      </w:r>
    </w:p>
    <w:p w:rsidR="00D520A3" w:rsidRDefault="00D520A3">
      <w:pPr>
        <w:pStyle w:val="ConsPlusNormal"/>
        <w:jc w:val="right"/>
      </w:pPr>
      <w:r>
        <w:t>18.08.2006 N 84</w:t>
      </w:r>
    </w:p>
    <w:p w:rsidR="00D520A3" w:rsidRDefault="00D520A3">
      <w:pPr>
        <w:pStyle w:val="ConsPlusNormal"/>
        <w:ind w:firstLine="540"/>
        <w:jc w:val="both"/>
      </w:pPr>
    </w:p>
    <w:p w:rsidR="00D520A3" w:rsidRDefault="00D520A3">
      <w:pPr>
        <w:pStyle w:val="ConsPlusNormal"/>
        <w:jc w:val="center"/>
      </w:pPr>
      <w:bookmarkStart w:id="1" w:name="P36"/>
      <w:bookmarkEnd w:id="1"/>
      <w:r>
        <w:t>ТИПОВЫЕ ШТАТЫ И НОРМАТИВЫ ЧИСЛЕННОСТИ РАБОТНИКОВ РАЙОННЫХ</w:t>
      </w:r>
    </w:p>
    <w:p w:rsidR="00D520A3" w:rsidRDefault="00D520A3">
      <w:pPr>
        <w:pStyle w:val="ConsPlusNormal"/>
        <w:jc w:val="center"/>
      </w:pPr>
      <w:r>
        <w:t>(ГОРОДСКИХ) УЧЕБНО-МЕТОДИЧЕСКИХ КАБИНЕТОВ</w:t>
      </w:r>
    </w:p>
    <w:p w:rsidR="00D520A3" w:rsidRDefault="00D520A3">
      <w:pPr>
        <w:pStyle w:val="ConsPlusNormal"/>
        <w:ind w:firstLine="540"/>
        <w:jc w:val="both"/>
      </w:pPr>
    </w:p>
    <w:p w:rsidR="00D520A3" w:rsidRDefault="00D520A3">
      <w:pPr>
        <w:pStyle w:val="ConsPlusNormal"/>
        <w:ind w:firstLine="540"/>
        <w:jc w:val="both"/>
      </w:pPr>
      <w:r>
        <w:t xml:space="preserve">1. Типовые штаты и нормативы численности работников районных (городских) учебно-методических кабинетов определяются в зависимости от численности педагогических работников, учреждений образования района (города), обеспечивающих получение дошкольного, общего среднего, специального образования для лиц с особенностями психофизического развития, </w:t>
      </w:r>
      <w:r>
        <w:lastRenderedPageBreak/>
        <w:t xml:space="preserve">внешкольного воспитания и обучения, социально-педагогических учреждений, финансируемых из бюджета и расположенных в городах и поселках городского типа и сельских населенных пунктах, согласно </w:t>
      </w:r>
      <w:hyperlink w:anchor="P51" w:history="1">
        <w:r>
          <w:rPr>
            <w:color w:val="0000FF"/>
          </w:rPr>
          <w:t>таблице</w:t>
        </w:r>
      </w:hyperlink>
      <w:r>
        <w:t>.</w:t>
      </w:r>
    </w:p>
    <w:p w:rsidR="00D520A3" w:rsidRDefault="00D520A3">
      <w:pPr>
        <w:pStyle w:val="ConsPlusNormal"/>
        <w:spacing w:before="220"/>
        <w:ind w:firstLine="540"/>
        <w:jc w:val="both"/>
      </w:pPr>
      <w:r>
        <w:t>2. Должность начальника отдела вводится при наличии в штате отдела не менее четырех работников, включая начальника отдела;</w:t>
      </w:r>
    </w:p>
    <w:p w:rsidR="00D520A3" w:rsidRDefault="00D520A3">
      <w:pPr>
        <w:pStyle w:val="ConsPlusNormal"/>
        <w:spacing w:before="220"/>
        <w:ind w:firstLine="540"/>
        <w:jc w:val="both"/>
      </w:pPr>
      <w:r>
        <w:t>заведующего сектором - при наличии в штате сектора не менее трех работников, включая заведующего сектором.</w:t>
      </w:r>
    </w:p>
    <w:p w:rsidR="00D520A3" w:rsidRDefault="00D520A3">
      <w:pPr>
        <w:pStyle w:val="ConsPlusNormal"/>
        <w:spacing w:before="220"/>
        <w:ind w:firstLine="540"/>
        <w:jc w:val="both"/>
      </w:pPr>
      <w:r>
        <w:t>3. Численность рабочих, занятых обслуживанием зданий, сооружений и ремонтом оборудования учреждений образования, определяется по нормам, установленным в соответствии с законодательством.</w:t>
      </w:r>
    </w:p>
    <w:p w:rsidR="00D520A3" w:rsidRDefault="00D520A3">
      <w:pPr>
        <w:pStyle w:val="ConsPlusNormal"/>
        <w:spacing w:before="220"/>
        <w:ind w:firstLine="540"/>
        <w:jc w:val="both"/>
      </w:pPr>
      <w:r>
        <w:t>4. Численность дворников устанавливается по нормам убираемой территории, утверждаемым местными исполнительными и распорядительными органами, в ведении которых находится учреждение образования.</w:t>
      </w:r>
    </w:p>
    <w:p w:rsidR="00D520A3" w:rsidRDefault="00D520A3">
      <w:pPr>
        <w:pStyle w:val="ConsPlusNormal"/>
        <w:spacing w:before="220"/>
        <w:ind w:firstLine="540"/>
        <w:jc w:val="both"/>
      </w:pPr>
      <w:r>
        <w:t>5. Численность работников, рассчитанная в соответствии с установленными нормативами, определяется с округлением в следующем порядке:</w:t>
      </w:r>
    </w:p>
    <w:p w:rsidR="00D520A3" w:rsidRDefault="00D520A3">
      <w:pPr>
        <w:pStyle w:val="ConsPlusNormal"/>
        <w:spacing w:before="220"/>
        <w:ind w:firstLine="540"/>
        <w:jc w:val="both"/>
      </w:pPr>
      <w:r>
        <w:t>итоговые цифры менее 0,13 отбрасываются;</w:t>
      </w:r>
    </w:p>
    <w:p w:rsidR="00D520A3" w:rsidRDefault="00D520A3">
      <w:pPr>
        <w:pStyle w:val="ConsPlusNormal"/>
        <w:spacing w:before="220"/>
        <w:ind w:firstLine="540"/>
        <w:jc w:val="both"/>
      </w:pPr>
      <w:r>
        <w:t>цифры 0,13 - 0,37 округляются до 0,25;</w:t>
      </w:r>
    </w:p>
    <w:p w:rsidR="00D520A3" w:rsidRDefault="00D520A3">
      <w:pPr>
        <w:pStyle w:val="ConsPlusNormal"/>
        <w:spacing w:before="220"/>
        <w:ind w:firstLine="540"/>
        <w:jc w:val="both"/>
      </w:pPr>
      <w:r>
        <w:t>цифры 0,38 - 0,62 округляются до 0,5;</w:t>
      </w:r>
    </w:p>
    <w:p w:rsidR="00D520A3" w:rsidRDefault="00D520A3">
      <w:pPr>
        <w:pStyle w:val="ConsPlusNormal"/>
        <w:spacing w:before="220"/>
        <w:ind w:firstLine="540"/>
        <w:jc w:val="both"/>
      </w:pPr>
      <w:r>
        <w:t>цифры 0,63 - 0,87 округляются до 0,75;</w:t>
      </w:r>
    </w:p>
    <w:p w:rsidR="00D520A3" w:rsidRDefault="00D520A3">
      <w:pPr>
        <w:pStyle w:val="ConsPlusNormal"/>
        <w:spacing w:before="220"/>
        <w:ind w:firstLine="540"/>
        <w:jc w:val="both"/>
      </w:pPr>
      <w:r>
        <w:t>цифры свыше 0,87 округляются до единицы.</w:t>
      </w:r>
    </w:p>
    <w:p w:rsidR="00D520A3" w:rsidRDefault="00D520A3">
      <w:pPr>
        <w:pStyle w:val="ConsPlusNormal"/>
        <w:ind w:firstLine="540"/>
        <w:jc w:val="both"/>
      </w:pPr>
    </w:p>
    <w:p w:rsidR="00D520A3" w:rsidRDefault="00D520A3">
      <w:pPr>
        <w:pStyle w:val="ConsPlusNormal"/>
        <w:jc w:val="right"/>
        <w:outlineLvl w:val="1"/>
      </w:pPr>
      <w:bookmarkStart w:id="2" w:name="P51"/>
      <w:bookmarkEnd w:id="2"/>
      <w:r>
        <w:t>Таблица</w:t>
      </w:r>
    </w:p>
    <w:p w:rsidR="00D520A3" w:rsidRDefault="00D520A3">
      <w:pPr>
        <w:pStyle w:val="ConsPlusNormal"/>
        <w:ind w:firstLine="540"/>
        <w:jc w:val="both"/>
      </w:pPr>
    </w:p>
    <w:p w:rsidR="00D520A3" w:rsidRDefault="00D520A3">
      <w:pPr>
        <w:pStyle w:val="ConsPlusNormal"/>
        <w:jc w:val="center"/>
      </w:pPr>
      <w:r>
        <w:t>Типовые штаты и нормативы численности работников районных</w:t>
      </w:r>
    </w:p>
    <w:p w:rsidR="00D520A3" w:rsidRDefault="00D520A3">
      <w:pPr>
        <w:pStyle w:val="ConsPlusNormal"/>
        <w:jc w:val="center"/>
      </w:pPr>
      <w:r>
        <w:t>(городских) учебно-методических кабинетов</w:t>
      </w:r>
    </w:p>
    <w:p w:rsidR="00D520A3" w:rsidRDefault="00D520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340"/>
        <w:gridCol w:w="2925"/>
        <w:gridCol w:w="2457"/>
      </w:tblGrid>
      <w:tr w:rsidR="00D520A3">
        <w:trPr>
          <w:trHeight w:val="240"/>
        </w:trPr>
        <w:tc>
          <w:tcPr>
            <w:tcW w:w="585" w:type="dxa"/>
          </w:tcPr>
          <w:p w:rsidR="00D520A3" w:rsidRDefault="00D520A3">
            <w:pPr>
              <w:pStyle w:val="ConsPlusNonformat"/>
              <w:jc w:val="both"/>
            </w:pPr>
            <w:r>
              <w:t xml:space="preserve"> N </w:t>
            </w:r>
          </w:p>
          <w:p w:rsidR="00D520A3" w:rsidRDefault="00D520A3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340" w:type="dxa"/>
          </w:tcPr>
          <w:p w:rsidR="00D520A3" w:rsidRDefault="00D520A3">
            <w:pPr>
              <w:pStyle w:val="ConsPlusNonformat"/>
              <w:jc w:val="both"/>
            </w:pPr>
            <w:r>
              <w:t xml:space="preserve">   Наименование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    должности     </w:t>
            </w:r>
          </w:p>
        </w:tc>
        <w:tc>
          <w:tcPr>
            <w:tcW w:w="2925" w:type="dxa"/>
          </w:tcPr>
          <w:p w:rsidR="00D520A3" w:rsidRDefault="00D520A3">
            <w:pPr>
              <w:pStyle w:val="ConsPlusNonformat"/>
              <w:jc w:val="both"/>
            </w:pPr>
            <w:r>
              <w:t xml:space="preserve">  Количество штатных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        единиц         </w:t>
            </w:r>
          </w:p>
        </w:tc>
        <w:tc>
          <w:tcPr>
            <w:tcW w:w="2457" w:type="dxa"/>
          </w:tcPr>
          <w:p w:rsidR="00D520A3" w:rsidRDefault="00D520A3">
            <w:pPr>
              <w:pStyle w:val="ConsPlusNonformat"/>
              <w:jc w:val="both"/>
            </w:pPr>
            <w:r>
              <w:t xml:space="preserve">    Примечание     </w:t>
            </w:r>
          </w:p>
        </w:tc>
      </w:tr>
      <w:tr w:rsidR="00D520A3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340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Заведующий        </w:t>
            </w:r>
          </w:p>
        </w:tc>
        <w:tc>
          <w:tcPr>
            <w:tcW w:w="2925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           1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</w:p>
        </w:tc>
      </w:tr>
      <w:tr w:rsidR="00D520A3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2340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Заместитель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заведующего       </w:t>
            </w:r>
          </w:p>
        </w:tc>
        <w:tc>
          <w:tcPr>
            <w:tcW w:w="2925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           1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При наличии 3000 и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более      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педагогических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работников 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учреждений 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образования        </w:t>
            </w:r>
          </w:p>
        </w:tc>
      </w:tr>
      <w:tr w:rsidR="00D520A3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2340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Методист (учебно-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методическое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обеспечение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деятельности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учреждений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образования,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кроме     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обеспечивающих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получение 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дошкольного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образования)      </w:t>
            </w:r>
          </w:p>
        </w:tc>
        <w:tc>
          <w:tcPr>
            <w:tcW w:w="2925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Из расчета:    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1 единица      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на 130 педагогических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работников учреждений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образования,   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расположенных в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сельских населенных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пунктах, кроме 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учреждений,    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обеспечивающих 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получение дошкольного  </w:t>
            </w:r>
          </w:p>
          <w:p w:rsidR="00D520A3" w:rsidRDefault="00D520A3">
            <w:pPr>
              <w:pStyle w:val="ConsPlusNonformat"/>
              <w:jc w:val="both"/>
            </w:pPr>
            <w:r>
              <w:lastRenderedPageBreak/>
              <w:t xml:space="preserve">образования    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1 единица      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на 260 педагогических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работников учреждений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образования,           </w:t>
            </w:r>
          </w:p>
          <w:p w:rsidR="00D520A3" w:rsidRDefault="00D520A3">
            <w:pPr>
              <w:pStyle w:val="ConsPlusNonformat"/>
              <w:jc w:val="both"/>
            </w:pPr>
            <w:r>
              <w:t>расположенных в городах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и поселках городского  </w:t>
            </w:r>
          </w:p>
          <w:p w:rsidR="00D520A3" w:rsidRDefault="00D520A3">
            <w:pPr>
              <w:pStyle w:val="ConsPlusNonformat"/>
              <w:jc w:val="both"/>
            </w:pPr>
            <w:r>
              <w:t>типа, кроме учреждений,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обеспечивающих 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получение дошкольного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образования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lastRenderedPageBreak/>
              <w:t xml:space="preserve">В численности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педагогических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работников для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данного норматива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не учитываются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педагоги   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социальные,        </w:t>
            </w:r>
          </w:p>
          <w:p w:rsidR="00D520A3" w:rsidRDefault="00D520A3">
            <w:pPr>
              <w:pStyle w:val="ConsPlusNonformat"/>
              <w:jc w:val="both"/>
            </w:pPr>
            <w:r>
              <w:t>педагоги-психологи,</w:t>
            </w:r>
          </w:p>
          <w:p w:rsidR="00D520A3" w:rsidRDefault="00D520A3">
            <w:pPr>
              <w:pStyle w:val="ConsPlusNonformat"/>
              <w:jc w:val="both"/>
            </w:pPr>
            <w:r>
              <w:t>учителя-дефектологи</w:t>
            </w:r>
          </w:p>
        </w:tc>
      </w:tr>
      <w:tr w:rsidR="00D520A3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lastRenderedPageBreak/>
              <w:t xml:space="preserve">4  </w:t>
            </w:r>
          </w:p>
        </w:tc>
        <w:tc>
          <w:tcPr>
            <w:tcW w:w="2340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Методист (учебно-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методическое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обеспечение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деятельности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учреждений,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обеспечивающих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получение 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дошкольного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образования)      </w:t>
            </w:r>
          </w:p>
        </w:tc>
        <w:tc>
          <w:tcPr>
            <w:tcW w:w="2925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>Из расчета 1 единица на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30 учреждений, 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обеспечивающих 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получение дошкольного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образования, но не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менее 1 единицы на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учреждение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</w:p>
        </w:tc>
      </w:tr>
      <w:tr w:rsidR="00D520A3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2340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Методист (учебно-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методическое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обеспечение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деятельности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учреждений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образования по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вопросам защиты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прав ребенка)     </w:t>
            </w:r>
          </w:p>
        </w:tc>
        <w:tc>
          <w:tcPr>
            <w:tcW w:w="2925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>Из расчета 1 единица на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5000           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несовершеннолетних,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проживающих в районе   </w:t>
            </w:r>
          </w:p>
          <w:p w:rsidR="00D520A3" w:rsidRDefault="00D520A3">
            <w:pPr>
              <w:pStyle w:val="ConsPlusNonformat"/>
              <w:jc w:val="both"/>
            </w:pPr>
            <w:r>
              <w:t>(городе), но не менее 1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единицы на учреждение  </w:t>
            </w:r>
          </w:p>
        </w:tc>
        <w:tc>
          <w:tcPr>
            <w:tcW w:w="2457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</w:p>
        </w:tc>
      </w:tr>
      <w:tr w:rsidR="00D520A3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2340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Методист (учебно-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методическое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обеспечение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деятельности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учреждений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образования по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социально-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педагогическому и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психологическому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сопровождению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образовательного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процесса)         </w:t>
            </w:r>
          </w:p>
        </w:tc>
        <w:tc>
          <w:tcPr>
            <w:tcW w:w="2925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           1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</w:p>
        </w:tc>
      </w:tr>
      <w:tr w:rsidR="00D520A3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2340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Методист (учебно-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методическое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обеспечение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деятельности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центров   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коррекционно-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развивающего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обучения и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реабилитации)     </w:t>
            </w:r>
          </w:p>
        </w:tc>
        <w:tc>
          <w:tcPr>
            <w:tcW w:w="2925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           1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</w:p>
        </w:tc>
      </w:tr>
      <w:tr w:rsidR="00D520A3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8  </w:t>
            </w:r>
          </w:p>
        </w:tc>
        <w:tc>
          <w:tcPr>
            <w:tcW w:w="2340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Библиотекарь      </w:t>
            </w:r>
          </w:p>
        </w:tc>
        <w:tc>
          <w:tcPr>
            <w:tcW w:w="2925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           1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При наличии        </w:t>
            </w:r>
          </w:p>
          <w:p w:rsidR="00D520A3" w:rsidRDefault="00D520A3">
            <w:pPr>
              <w:pStyle w:val="ConsPlusNonformat"/>
              <w:jc w:val="both"/>
            </w:pPr>
            <w:r>
              <w:t>библиотеки с фондом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научно-    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методической,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методической       </w:t>
            </w:r>
          </w:p>
          <w:p w:rsidR="00D520A3" w:rsidRDefault="00D520A3">
            <w:pPr>
              <w:pStyle w:val="ConsPlusNonformat"/>
              <w:jc w:val="both"/>
            </w:pPr>
            <w:r>
              <w:t>литературы не менее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1000 экземпляров   </w:t>
            </w:r>
          </w:p>
        </w:tc>
      </w:tr>
      <w:tr w:rsidR="00D520A3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9  </w:t>
            </w:r>
          </w:p>
        </w:tc>
        <w:tc>
          <w:tcPr>
            <w:tcW w:w="2340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Заведующий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хозяйством        </w:t>
            </w:r>
          </w:p>
        </w:tc>
        <w:tc>
          <w:tcPr>
            <w:tcW w:w="2925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           1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В учреждении,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расположенном в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самостоятельном    </w:t>
            </w:r>
          </w:p>
          <w:p w:rsidR="00D520A3" w:rsidRDefault="00D520A3">
            <w:pPr>
              <w:pStyle w:val="ConsPlusNonformat"/>
              <w:jc w:val="both"/>
            </w:pPr>
            <w:r>
              <w:lastRenderedPageBreak/>
              <w:t xml:space="preserve">здании             </w:t>
            </w:r>
          </w:p>
        </w:tc>
      </w:tr>
      <w:tr w:rsidR="00D520A3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lastRenderedPageBreak/>
              <w:t xml:space="preserve">10 </w:t>
            </w:r>
          </w:p>
        </w:tc>
        <w:tc>
          <w:tcPr>
            <w:tcW w:w="2340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Главный бухгалтер </w:t>
            </w:r>
          </w:p>
        </w:tc>
        <w:tc>
          <w:tcPr>
            <w:tcW w:w="2925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           1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Не устанавливается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в учреждениях,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обслуживаемых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централизованной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бухгалтерией       </w:t>
            </w:r>
          </w:p>
        </w:tc>
      </w:tr>
      <w:tr w:rsidR="00D520A3">
        <w:trPr>
          <w:trHeight w:val="240"/>
        </w:trPr>
        <w:tc>
          <w:tcPr>
            <w:tcW w:w="585" w:type="dxa"/>
            <w:vMerge w:val="restart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Секретарь- 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машинистка        </w:t>
            </w:r>
          </w:p>
        </w:tc>
        <w:tc>
          <w:tcPr>
            <w:tcW w:w="2925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           0,5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При наличии до 10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штатных единиц в   </w:t>
            </w:r>
          </w:p>
          <w:p w:rsidR="00D520A3" w:rsidRDefault="00D520A3">
            <w:pPr>
              <w:pStyle w:val="ConsPlusNonformat"/>
              <w:jc w:val="both"/>
            </w:pPr>
            <w:r>
              <w:t>учебно-методическом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кабинете           </w:t>
            </w:r>
          </w:p>
        </w:tc>
      </w:tr>
      <w:tr w:rsidR="00D520A3">
        <w:tc>
          <w:tcPr>
            <w:tcW w:w="468" w:type="dxa"/>
            <w:vMerge/>
            <w:tcBorders>
              <w:top w:val="nil"/>
            </w:tcBorders>
          </w:tcPr>
          <w:p w:rsidR="00D520A3" w:rsidRDefault="00D520A3"/>
        </w:tc>
        <w:tc>
          <w:tcPr>
            <w:tcW w:w="2223" w:type="dxa"/>
            <w:vMerge/>
            <w:tcBorders>
              <w:top w:val="nil"/>
            </w:tcBorders>
          </w:tcPr>
          <w:p w:rsidR="00D520A3" w:rsidRDefault="00D520A3"/>
        </w:tc>
        <w:tc>
          <w:tcPr>
            <w:tcW w:w="2925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           1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При наличии 10 и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более штатных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единиц в учебно-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методическом  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кабинете           </w:t>
            </w:r>
          </w:p>
        </w:tc>
      </w:tr>
      <w:tr w:rsidR="00D520A3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2340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Уборщик служебных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помещений         </w:t>
            </w:r>
          </w:p>
        </w:tc>
        <w:tc>
          <w:tcPr>
            <w:tcW w:w="2925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  <w:r>
              <w:t xml:space="preserve">Из расчета 0,5 единицы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на каждые 250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     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убираемой площади, но  </w:t>
            </w:r>
          </w:p>
          <w:p w:rsidR="00D520A3" w:rsidRDefault="00D520A3">
            <w:pPr>
              <w:pStyle w:val="ConsPlusNonformat"/>
              <w:jc w:val="both"/>
            </w:pPr>
            <w:r>
              <w:t>не менее 0,5 единицы на</w:t>
            </w:r>
          </w:p>
          <w:p w:rsidR="00D520A3" w:rsidRDefault="00D520A3">
            <w:pPr>
              <w:pStyle w:val="ConsPlusNonformat"/>
              <w:jc w:val="both"/>
            </w:pPr>
            <w:r>
              <w:t xml:space="preserve">учреждение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D520A3" w:rsidRDefault="00D520A3">
            <w:pPr>
              <w:pStyle w:val="ConsPlusNonformat"/>
              <w:jc w:val="both"/>
            </w:pPr>
          </w:p>
        </w:tc>
      </w:tr>
    </w:tbl>
    <w:p w:rsidR="00D520A3" w:rsidRDefault="00D520A3">
      <w:pPr>
        <w:pStyle w:val="ConsPlusNormal"/>
        <w:ind w:firstLine="540"/>
        <w:jc w:val="both"/>
      </w:pPr>
    </w:p>
    <w:p w:rsidR="00D520A3" w:rsidRDefault="00D520A3">
      <w:pPr>
        <w:pStyle w:val="ConsPlusNormal"/>
        <w:ind w:firstLine="540"/>
        <w:jc w:val="both"/>
      </w:pPr>
    </w:p>
    <w:p w:rsidR="00D520A3" w:rsidRDefault="00D520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72" w:rsidRDefault="00D13F72"/>
    <w:sectPr w:rsidR="00D13F72" w:rsidSect="0024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A3"/>
    <w:rsid w:val="003C0F24"/>
    <w:rsid w:val="004310D3"/>
    <w:rsid w:val="006847C3"/>
    <w:rsid w:val="008C002E"/>
    <w:rsid w:val="008E5C34"/>
    <w:rsid w:val="00996F21"/>
    <w:rsid w:val="009A3767"/>
    <w:rsid w:val="00AA0A03"/>
    <w:rsid w:val="00D13F72"/>
    <w:rsid w:val="00D520A3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84512-EADC-4919-A500-1594D78A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2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2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9BB2263572BB5DA31432C96BBF9B57521DFC9C66F1A0C7FCF15880266FE6C3028DCB589B05D9F3C3838D92F08FC079D835FF99857A0B926EF9F747y2s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2022-12-23T13:44:00Z</dcterms:created>
  <dcterms:modified xsi:type="dcterms:W3CDTF">2022-12-23T13:45:00Z</dcterms:modified>
</cp:coreProperties>
</file>